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94" w:rsidRPr="009C6794" w:rsidRDefault="00AE3C19" w:rsidP="009C6794">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1. </w:t>
      </w:r>
      <w:bookmarkStart w:id="0" w:name="_GoBack"/>
      <w:bookmarkEnd w:id="0"/>
      <w:r w:rsidR="009C6794" w:rsidRPr="009C6794">
        <w:rPr>
          <w:rFonts w:ascii="Times New Roman" w:eastAsia="Times New Roman" w:hAnsi="Times New Roman" w:cs="Times New Roman"/>
          <w:b/>
          <w:bCs/>
          <w:sz w:val="27"/>
          <w:szCs w:val="27"/>
        </w:rPr>
        <w:t>Executive Summary: Neuroanatomical and Structural-Functional Report</w:t>
      </w:r>
    </w:p>
    <w:p w:rsidR="009C6794" w:rsidRPr="009C6794" w:rsidRDefault="00AE3C19" w:rsidP="009C6794">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This report provides an Executive Summary of comprehensive analyse</w:t>
      </w:r>
      <w:r w:rsidR="009C6794" w:rsidRPr="009C6794">
        <w:rPr>
          <w:rFonts w:ascii="Times New Roman" w:eastAsia="Times New Roman" w:hAnsi="Times New Roman" w:cs="Times New Roman"/>
          <w:sz w:val="24"/>
          <w:szCs w:val="24"/>
        </w:rPr>
        <w:t>s of the neuroanatomy and functional roles of over 200 human brain regions, with a particular focus on subcortical and brainstem structures. The analysis reveals the brain's intricate, hierarchical organization, where specialized nuclei and layers work in concert to govern everything from basic motor function to complex cognitive and emotional processes.</w:t>
      </w:r>
    </w:p>
    <w:p w:rsidR="009C6794" w:rsidRPr="009C6794" w:rsidRDefault="009C6794" w:rsidP="009C6794">
      <w:pPr>
        <w:spacing w:before="100" w:beforeAutospacing="1" w:after="100" w:afterAutospacing="1" w:line="240" w:lineRule="auto"/>
        <w:outlineLvl w:val="3"/>
        <w:rPr>
          <w:rFonts w:ascii="Times New Roman" w:eastAsia="Times New Roman" w:hAnsi="Times New Roman" w:cs="Times New Roman"/>
          <w:b/>
          <w:bCs/>
          <w:sz w:val="24"/>
          <w:szCs w:val="24"/>
        </w:rPr>
      </w:pPr>
      <w:r w:rsidRPr="009C6794">
        <w:rPr>
          <w:rFonts w:ascii="Times New Roman" w:eastAsia="Times New Roman" w:hAnsi="Times New Roman" w:cs="Times New Roman"/>
          <w:b/>
          <w:bCs/>
          <w:sz w:val="24"/>
          <w:szCs w:val="24"/>
        </w:rPr>
        <w:t>Key Findings by System</w:t>
      </w:r>
    </w:p>
    <w:p w:rsidR="009C6794" w:rsidRPr="009C6794" w:rsidRDefault="009C6794" w:rsidP="009C6794">
      <w:p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1. The Thalamus: The Brain's Central Relay Hub</w:t>
      </w:r>
      <w:r w:rsidRPr="009C6794">
        <w:rPr>
          <w:rFonts w:ascii="Times New Roman" w:eastAsia="Times New Roman" w:hAnsi="Times New Roman" w:cs="Times New Roman"/>
          <w:sz w:val="24"/>
          <w:szCs w:val="24"/>
        </w:rPr>
        <w:t xml:space="preserve"> The analysis confirmed the thalamus as a critical relay station for sensory, motor, and limbic information. Different nuclei within the thalamus are highly specialized:</w:t>
      </w:r>
    </w:p>
    <w:p w:rsidR="009C6794" w:rsidRPr="009C6794" w:rsidRDefault="009C6794" w:rsidP="009C6794">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9C6794">
        <w:rPr>
          <w:rFonts w:ascii="Times New Roman" w:eastAsia="Times New Roman" w:hAnsi="Times New Roman" w:cs="Times New Roman"/>
          <w:b/>
          <w:bCs/>
          <w:sz w:val="24"/>
          <w:szCs w:val="24"/>
        </w:rPr>
        <w:t>Mediodorsal</w:t>
      </w:r>
      <w:proofErr w:type="spellEnd"/>
      <w:r w:rsidRPr="009C6794">
        <w:rPr>
          <w:rFonts w:ascii="Times New Roman" w:eastAsia="Times New Roman" w:hAnsi="Times New Roman" w:cs="Times New Roman"/>
          <w:b/>
          <w:bCs/>
          <w:sz w:val="24"/>
          <w:szCs w:val="24"/>
        </w:rPr>
        <w:t xml:space="preserve"> Nucleus (MD):</w:t>
      </w:r>
      <w:r w:rsidRPr="009C6794">
        <w:rPr>
          <w:rFonts w:ascii="Times New Roman" w:eastAsia="Times New Roman" w:hAnsi="Times New Roman" w:cs="Times New Roman"/>
          <w:sz w:val="24"/>
          <w:szCs w:val="24"/>
        </w:rPr>
        <w:t xml:space="preserve"> A key player in executive function, working memory, and decision-making, with direct links to the prefrontal cortex.</w:t>
      </w:r>
    </w:p>
    <w:p w:rsidR="009C6794" w:rsidRPr="009C6794" w:rsidRDefault="009C6794" w:rsidP="009C67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Anterior Group:</w:t>
      </w:r>
      <w:r w:rsidRPr="009C6794">
        <w:rPr>
          <w:rFonts w:ascii="Times New Roman" w:eastAsia="Times New Roman" w:hAnsi="Times New Roman" w:cs="Times New Roman"/>
          <w:sz w:val="24"/>
          <w:szCs w:val="24"/>
        </w:rPr>
        <w:t xml:space="preserve"> A central component of the </w:t>
      </w:r>
      <w:proofErr w:type="spellStart"/>
      <w:r w:rsidRPr="009C6794">
        <w:rPr>
          <w:rFonts w:ascii="Times New Roman" w:eastAsia="Times New Roman" w:hAnsi="Times New Roman" w:cs="Times New Roman"/>
          <w:sz w:val="24"/>
          <w:szCs w:val="24"/>
        </w:rPr>
        <w:t>Papez</w:t>
      </w:r>
      <w:proofErr w:type="spellEnd"/>
      <w:r w:rsidRPr="009C6794">
        <w:rPr>
          <w:rFonts w:ascii="Times New Roman" w:eastAsia="Times New Roman" w:hAnsi="Times New Roman" w:cs="Times New Roman"/>
          <w:sz w:val="24"/>
          <w:szCs w:val="24"/>
        </w:rPr>
        <w:t xml:space="preserve"> circuit, fundamental for memory formation and spatial navigation.</w:t>
      </w:r>
    </w:p>
    <w:p w:rsidR="009C6794" w:rsidRPr="009C6794" w:rsidRDefault="009C6794" w:rsidP="009C6794">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9C6794">
        <w:rPr>
          <w:rFonts w:ascii="Times New Roman" w:eastAsia="Times New Roman" w:hAnsi="Times New Roman" w:cs="Times New Roman"/>
          <w:b/>
          <w:bCs/>
          <w:sz w:val="24"/>
          <w:szCs w:val="24"/>
        </w:rPr>
        <w:t>Intralaminar</w:t>
      </w:r>
      <w:proofErr w:type="spellEnd"/>
      <w:r w:rsidRPr="009C6794">
        <w:rPr>
          <w:rFonts w:ascii="Times New Roman" w:eastAsia="Times New Roman" w:hAnsi="Times New Roman" w:cs="Times New Roman"/>
          <w:b/>
          <w:bCs/>
          <w:sz w:val="24"/>
          <w:szCs w:val="24"/>
        </w:rPr>
        <w:t xml:space="preserve"> Nuclei:</w:t>
      </w:r>
      <w:r w:rsidRPr="009C6794">
        <w:rPr>
          <w:rFonts w:ascii="Times New Roman" w:eastAsia="Times New Roman" w:hAnsi="Times New Roman" w:cs="Times New Roman"/>
          <w:sz w:val="24"/>
          <w:szCs w:val="24"/>
        </w:rPr>
        <w:t xml:space="preserve"> Crucial for arousal, attention, and pain perception, integrating signals from the brainstem.</w:t>
      </w:r>
    </w:p>
    <w:p w:rsidR="009C6794" w:rsidRPr="009C6794" w:rsidRDefault="009C6794" w:rsidP="009C6794">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Geniculate Complexes:</w:t>
      </w:r>
      <w:r w:rsidRPr="009C6794">
        <w:rPr>
          <w:rFonts w:ascii="Times New Roman" w:eastAsia="Times New Roman" w:hAnsi="Times New Roman" w:cs="Times New Roman"/>
          <w:sz w:val="24"/>
          <w:szCs w:val="24"/>
        </w:rPr>
        <w:t xml:space="preserve"> Serve as the primary sensory relays for vision (Lateral Geniculate Complex) and hearing (Medial Geniculate Complex), channeling information to the respective cortices.</w:t>
      </w:r>
    </w:p>
    <w:p w:rsidR="009C6794" w:rsidRPr="009C6794" w:rsidRDefault="009C6794" w:rsidP="009C6794">
      <w:p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2. Brain Stem and Midbrain: Command Centers for Fundamental Processes</w:t>
      </w:r>
      <w:r w:rsidRPr="009C6794">
        <w:rPr>
          <w:rFonts w:ascii="Times New Roman" w:eastAsia="Times New Roman" w:hAnsi="Times New Roman" w:cs="Times New Roman"/>
          <w:sz w:val="24"/>
          <w:szCs w:val="24"/>
        </w:rPr>
        <w:t xml:space="preserve"> These regions are not merely signal conduits but active processing centers.</w:t>
      </w:r>
    </w:p>
    <w:p w:rsidR="009C6794" w:rsidRPr="009C6794" w:rsidRDefault="009C6794" w:rsidP="009C679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Superior Colliculus:</w:t>
      </w:r>
      <w:r w:rsidRPr="009C6794">
        <w:rPr>
          <w:rFonts w:ascii="Times New Roman" w:eastAsia="Times New Roman" w:hAnsi="Times New Roman" w:cs="Times New Roman"/>
          <w:sz w:val="24"/>
          <w:szCs w:val="24"/>
        </w:rPr>
        <w:t xml:space="preserve"> A multi-layered structure vital for orienting the head and eyes towards visual and auditory stimuli.</w:t>
      </w:r>
    </w:p>
    <w:p w:rsidR="009C6794" w:rsidRPr="009C6794" w:rsidRDefault="009C6794" w:rsidP="009C679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Inferior Colliculus:</w:t>
      </w:r>
      <w:r w:rsidRPr="009C6794">
        <w:rPr>
          <w:rFonts w:ascii="Times New Roman" w:eastAsia="Times New Roman" w:hAnsi="Times New Roman" w:cs="Times New Roman"/>
          <w:sz w:val="24"/>
          <w:szCs w:val="24"/>
        </w:rPr>
        <w:t xml:space="preserve"> The central hub for auditory processing in the midbrain, essential for sound localization and frequency analysis.</w:t>
      </w:r>
    </w:p>
    <w:p w:rsidR="009C6794" w:rsidRPr="009C6794" w:rsidRDefault="009C6794" w:rsidP="009C6794">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Cochlear Nuclei:</w:t>
      </w:r>
      <w:r w:rsidRPr="009C6794">
        <w:rPr>
          <w:rFonts w:ascii="Times New Roman" w:eastAsia="Times New Roman" w:hAnsi="Times New Roman" w:cs="Times New Roman"/>
          <w:sz w:val="24"/>
          <w:szCs w:val="24"/>
        </w:rPr>
        <w:t xml:space="preserve"> The initial brainstem processing centers for auditory input from the ear, critical for decoding sound characteristics.</w:t>
      </w:r>
    </w:p>
    <w:p w:rsidR="009C6794" w:rsidRPr="009C6794" w:rsidRDefault="009C6794" w:rsidP="009C6794">
      <w:p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3. Basal Ganglia: The Engine of Motor Control</w:t>
      </w:r>
      <w:r w:rsidRPr="009C6794">
        <w:rPr>
          <w:rFonts w:ascii="Times New Roman" w:eastAsia="Times New Roman" w:hAnsi="Times New Roman" w:cs="Times New Roman"/>
          <w:sz w:val="24"/>
          <w:szCs w:val="24"/>
        </w:rPr>
        <w:t xml:space="preserve"> The report highlights the Globus Pallidus as a core component of the motor system.</w:t>
      </w:r>
    </w:p>
    <w:p w:rsidR="009C6794" w:rsidRPr="009C6794" w:rsidRDefault="009C6794" w:rsidP="009C6794">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Globus Pallidus (Internal &amp; External):</w:t>
      </w:r>
      <w:r w:rsidRPr="009C6794">
        <w:rPr>
          <w:rFonts w:ascii="Times New Roman" w:eastAsia="Times New Roman" w:hAnsi="Times New Roman" w:cs="Times New Roman"/>
          <w:sz w:val="24"/>
          <w:szCs w:val="24"/>
        </w:rPr>
        <w:t xml:space="preserve"> This structure acts as the main output regulator of the basal ganglia, </w:t>
      </w:r>
      <w:proofErr w:type="spellStart"/>
      <w:r w:rsidRPr="009C6794">
        <w:rPr>
          <w:rFonts w:ascii="Times New Roman" w:eastAsia="Times New Roman" w:hAnsi="Times New Roman" w:cs="Times New Roman"/>
          <w:sz w:val="24"/>
          <w:szCs w:val="24"/>
        </w:rPr>
        <w:t>tonically</w:t>
      </w:r>
      <w:proofErr w:type="spellEnd"/>
      <w:r w:rsidRPr="009C6794">
        <w:rPr>
          <w:rFonts w:ascii="Times New Roman" w:eastAsia="Times New Roman" w:hAnsi="Times New Roman" w:cs="Times New Roman"/>
          <w:sz w:val="24"/>
          <w:szCs w:val="24"/>
        </w:rPr>
        <w:t xml:space="preserve"> inhibiting the thalamus. Its modulated activity is necessary for the initiation and execution of voluntary movements.</w:t>
      </w:r>
    </w:p>
    <w:p w:rsidR="009C6794" w:rsidRPr="009C6794" w:rsidRDefault="009C6794" w:rsidP="009C6794">
      <w:p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4. Limbic System and Amygdala: The Seat of Emotion and Motivation</w:t>
      </w:r>
      <w:r w:rsidRPr="009C6794">
        <w:rPr>
          <w:rFonts w:ascii="Times New Roman" w:eastAsia="Times New Roman" w:hAnsi="Times New Roman" w:cs="Times New Roman"/>
          <w:sz w:val="24"/>
          <w:szCs w:val="24"/>
        </w:rPr>
        <w:t xml:space="preserve"> The analysis underscores the limbic system's role in governing emotional and motivational behaviors.</w:t>
      </w:r>
    </w:p>
    <w:p w:rsidR="009C6794" w:rsidRPr="009C6794" w:rsidRDefault="009C6794" w:rsidP="009C679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 xml:space="preserve">Medial </w:t>
      </w:r>
      <w:proofErr w:type="spellStart"/>
      <w:r w:rsidRPr="009C6794">
        <w:rPr>
          <w:rFonts w:ascii="Times New Roman" w:eastAsia="Times New Roman" w:hAnsi="Times New Roman" w:cs="Times New Roman"/>
          <w:b/>
          <w:bCs/>
          <w:sz w:val="24"/>
          <w:szCs w:val="24"/>
        </w:rPr>
        <w:t>Amygdalar</w:t>
      </w:r>
      <w:proofErr w:type="spellEnd"/>
      <w:r w:rsidRPr="009C6794">
        <w:rPr>
          <w:rFonts w:ascii="Times New Roman" w:eastAsia="Times New Roman" w:hAnsi="Times New Roman" w:cs="Times New Roman"/>
          <w:b/>
          <w:bCs/>
          <w:sz w:val="24"/>
          <w:szCs w:val="24"/>
        </w:rPr>
        <w:t xml:space="preserve"> Nucleus:</w:t>
      </w:r>
      <w:r w:rsidRPr="009C6794">
        <w:rPr>
          <w:rFonts w:ascii="Times New Roman" w:eastAsia="Times New Roman" w:hAnsi="Times New Roman" w:cs="Times New Roman"/>
          <w:sz w:val="24"/>
          <w:szCs w:val="24"/>
        </w:rPr>
        <w:t xml:space="preserve"> This region is strongly implicated in innate social behaviors such as aggression and mating, receiving direct input related to </w:t>
      </w:r>
      <w:proofErr w:type="spellStart"/>
      <w:r w:rsidRPr="009C6794">
        <w:rPr>
          <w:rFonts w:ascii="Times New Roman" w:eastAsia="Times New Roman" w:hAnsi="Times New Roman" w:cs="Times New Roman"/>
          <w:sz w:val="24"/>
          <w:szCs w:val="24"/>
        </w:rPr>
        <w:t>pheromonal</w:t>
      </w:r>
      <w:proofErr w:type="spellEnd"/>
      <w:r w:rsidRPr="009C6794">
        <w:rPr>
          <w:rFonts w:ascii="Times New Roman" w:eastAsia="Times New Roman" w:hAnsi="Times New Roman" w:cs="Times New Roman"/>
          <w:sz w:val="24"/>
          <w:szCs w:val="24"/>
        </w:rPr>
        <w:t xml:space="preserve"> cues.</w:t>
      </w:r>
    </w:p>
    <w:p w:rsidR="009C6794" w:rsidRPr="009C6794" w:rsidRDefault="009C6794" w:rsidP="009C6794">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 xml:space="preserve">Bed Nucleus of the </w:t>
      </w:r>
      <w:proofErr w:type="spellStart"/>
      <w:r w:rsidRPr="009C6794">
        <w:rPr>
          <w:rFonts w:ascii="Times New Roman" w:eastAsia="Times New Roman" w:hAnsi="Times New Roman" w:cs="Times New Roman"/>
          <w:b/>
          <w:bCs/>
          <w:sz w:val="24"/>
          <w:szCs w:val="24"/>
        </w:rPr>
        <w:t>Stria</w:t>
      </w:r>
      <w:proofErr w:type="spellEnd"/>
      <w:r w:rsidRPr="009C6794">
        <w:rPr>
          <w:rFonts w:ascii="Times New Roman" w:eastAsia="Times New Roman" w:hAnsi="Times New Roman" w:cs="Times New Roman"/>
          <w:b/>
          <w:bCs/>
          <w:sz w:val="24"/>
          <w:szCs w:val="24"/>
        </w:rPr>
        <w:t xml:space="preserve"> Terminalis (BNST):</w:t>
      </w:r>
      <w:r w:rsidRPr="009C6794">
        <w:rPr>
          <w:rFonts w:ascii="Times New Roman" w:eastAsia="Times New Roman" w:hAnsi="Times New Roman" w:cs="Times New Roman"/>
          <w:sz w:val="24"/>
          <w:szCs w:val="24"/>
        </w:rPr>
        <w:t xml:space="preserve"> Part of the extended amygdala, this structure is crucial for the sustained, long-term response to stress and anxiety.</w:t>
      </w:r>
    </w:p>
    <w:p w:rsidR="00F3336B" w:rsidRPr="009C6794" w:rsidRDefault="009C6794" w:rsidP="009C6794">
      <w:pPr>
        <w:spacing w:before="100" w:beforeAutospacing="1" w:after="100" w:afterAutospacing="1" w:line="240" w:lineRule="auto"/>
        <w:rPr>
          <w:rFonts w:ascii="Times New Roman" w:eastAsia="Times New Roman" w:hAnsi="Times New Roman" w:cs="Times New Roman"/>
          <w:sz w:val="24"/>
          <w:szCs w:val="24"/>
        </w:rPr>
      </w:pPr>
      <w:r w:rsidRPr="009C6794">
        <w:rPr>
          <w:rFonts w:ascii="Times New Roman" w:eastAsia="Times New Roman" w:hAnsi="Times New Roman" w:cs="Times New Roman"/>
          <w:b/>
          <w:bCs/>
          <w:sz w:val="24"/>
          <w:szCs w:val="24"/>
        </w:rPr>
        <w:t>Conclusion</w:t>
      </w:r>
      <w:r w:rsidRPr="009C6794">
        <w:rPr>
          <w:rFonts w:ascii="Times New Roman" w:eastAsia="Times New Roman" w:hAnsi="Times New Roman" w:cs="Times New Roman"/>
          <w:sz w:val="24"/>
          <w:szCs w:val="24"/>
        </w:rPr>
        <w:t xml:space="preserve"> This comprehensive neuroanatomical review demonstrates that the brain's subcortical structures are organized into highly specific, interconnected functional groups. The findings reinforce that the brain operates as a complex, dynamic network where each seemingly small region plays a critical, specialized role in the vast tapestry of human function.</w:t>
      </w:r>
    </w:p>
    <w:sectPr w:rsidR="00F3336B" w:rsidRPr="009C6794" w:rsidSect="009C679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B7738"/>
    <w:multiLevelType w:val="multilevel"/>
    <w:tmpl w:val="01C2B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CA07B69"/>
    <w:multiLevelType w:val="multilevel"/>
    <w:tmpl w:val="A02A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E61369"/>
    <w:multiLevelType w:val="multilevel"/>
    <w:tmpl w:val="C2745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4144B3"/>
    <w:multiLevelType w:val="multilevel"/>
    <w:tmpl w:val="776AB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794"/>
    <w:rsid w:val="009966BE"/>
    <w:rsid w:val="009C6794"/>
    <w:rsid w:val="00AE3C19"/>
    <w:rsid w:val="00F33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53218-626F-4DED-9D1D-09151CB9D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9C679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9C679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C679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9C6794"/>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C679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05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Guennadi Glinskii</dc:creator>
  <cp:keywords/>
  <dc:description/>
  <cp:lastModifiedBy>Guennadi Glinskii</cp:lastModifiedBy>
  <cp:revision>2</cp:revision>
  <dcterms:created xsi:type="dcterms:W3CDTF">2025-09-07T03:39:00Z</dcterms:created>
  <dcterms:modified xsi:type="dcterms:W3CDTF">2025-10-02T05:49:00Z</dcterms:modified>
</cp:coreProperties>
</file>